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3CA71CE4"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1A0078">
        <w:rPr>
          <w:rFonts w:ascii="Arial" w:hAnsi="Arial" w:cs="Arial"/>
          <w:b/>
          <w:bCs/>
          <w:sz w:val="24"/>
          <w:szCs w:val="24"/>
        </w:rPr>
        <w:t>5</w:t>
      </w:r>
      <w:r w:rsidR="00DF7FB6" w:rsidRPr="00F76B76">
        <w:rPr>
          <w:rFonts w:ascii="Arial" w:hAnsi="Arial" w:cs="Arial"/>
          <w:b/>
          <w:bCs/>
          <w:sz w:val="24"/>
          <w:szCs w:val="24"/>
        </w:rPr>
        <w:tab/>
      </w:r>
      <w:r w:rsidR="002B121F" w:rsidRPr="002B121F">
        <w:rPr>
          <w:rFonts w:ascii="Arial" w:hAnsi="Arial" w:cs="Arial"/>
          <w:b/>
          <w:bCs/>
          <w:sz w:val="24"/>
          <w:szCs w:val="24"/>
        </w:rPr>
        <w:t>S2-1911630</w:t>
      </w:r>
      <w:bookmarkStart w:id="0" w:name="_GoBack"/>
      <w:bookmarkEnd w:id="0"/>
    </w:p>
    <w:p w14:paraId="45DD8217" w14:textId="108EBEC5" w:rsidR="00DF7FB6" w:rsidRPr="00F76B76" w:rsidRDefault="0088176D"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18-22</w:t>
      </w:r>
      <w:r w:rsidR="000C3784">
        <w:rPr>
          <w:rFonts w:ascii="Arial" w:hAnsi="Arial" w:cs="Arial"/>
          <w:b/>
          <w:bCs/>
          <w:sz w:val="24"/>
        </w:rPr>
        <w:t xml:space="preserve">, </w:t>
      </w:r>
      <w:r>
        <w:rPr>
          <w:rFonts w:ascii="Arial" w:hAnsi="Arial" w:cs="Arial"/>
          <w:b/>
          <w:bCs/>
          <w:sz w:val="24"/>
        </w:rPr>
        <w:t>Reno, Nevada, 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B24CE0" w:rsidRPr="00894F6B">
        <w:rPr>
          <w:rFonts w:ascii="Arial" w:hAnsi="Arial" w:cs="Arial"/>
          <w:b/>
          <w:bCs/>
        </w:rPr>
        <w:t>)</w:t>
      </w:r>
    </w:p>
    <w:p w14:paraId="5DD47DA7" w14:textId="73D2295F"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0F6299">
        <w:rPr>
          <w:rFonts w:ascii="Arial" w:hAnsi="Arial" w:cs="Arial"/>
          <w:b/>
        </w:rPr>
        <w:t>, Sprint</w:t>
      </w:r>
      <w:r w:rsidR="00287F1A">
        <w:rPr>
          <w:rFonts w:ascii="Arial" w:hAnsi="Arial" w:cs="Arial"/>
          <w:b/>
        </w:rPr>
        <w:t>, KDDI</w:t>
      </w:r>
    </w:p>
    <w:p w14:paraId="3BE54C94" w14:textId="656C6E8E" w:rsidR="00AF4567" w:rsidRDefault="00440983">
      <w:pPr>
        <w:ind w:left="2127" w:hanging="2127"/>
        <w:rPr>
          <w:rFonts w:ascii="Arial" w:hAnsi="Arial" w:cs="Arial"/>
          <w:b/>
        </w:rPr>
      </w:pPr>
      <w:r>
        <w:rPr>
          <w:rFonts w:ascii="Arial" w:hAnsi="Arial" w:cs="Arial"/>
          <w:b/>
        </w:rPr>
        <w:t>Title:</w:t>
      </w:r>
      <w:r>
        <w:rPr>
          <w:rFonts w:ascii="Arial" w:hAnsi="Arial" w:cs="Arial"/>
          <w:b/>
        </w:rPr>
        <w:tab/>
      </w:r>
      <w:r w:rsidR="00777001">
        <w:rPr>
          <w:rFonts w:ascii="Arial" w:hAnsi="Arial" w:cs="Arial"/>
          <w:b/>
        </w:rPr>
        <w:t>Scalability vs. character attributes</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471FCFBD"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C6387E">
        <w:rPr>
          <w:rFonts w:ascii="Arial" w:hAnsi="Arial" w:cs="Arial"/>
          <w:i/>
        </w:rPr>
        <w:t xml:space="preserve">this paper </w:t>
      </w:r>
      <w:r w:rsidR="00777001">
        <w:rPr>
          <w:rFonts w:ascii="Arial" w:hAnsi="Arial" w:cs="Arial"/>
          <w:i/>
        </w:rPr>
        <w:t>clarifies terminology for avoidance of confusion</w:t>
      </w:r>
    </w:p>
    <w:p w14:paraId="43593185" w14:textId="77777777" w:rsidR="00387FDA" w:rsidRDefault="00F70227" w:rsidP="00AF4567">
      <w:pPr>
        <w:pStyle w:val="Heading1"/>
      </w:pPr>
      <w:r>
        <w:t>Discussion</w:t>
      </w:r>
    </w:p>
    <w:p w14:paraId="628E0E1C" w14:textId="08294AE0" w:rsidR="007F7BAB" w:rsidRDefault="00777001" w:rsidP="007F7BAB">
      <w:r>
        <w:t>At SA2#135</w:t>
      </w:r>
      <w:r w:rsidR="00287F1A">
        <w:t xml:space="preserve"> some argued</w:t>
      </w:r>
      <w:r>
        <w:t xml:space="preserve"> that scalability attributes can only be supported by means of OAM so SA2 should not touch them.</w:t>
      </w:r>
      <w:r w:rsidR="00287F1A">
        <w:t xml:space="preserve"> Or, that these are just indicative targets and then the network can further scale to accommodate any value in excess of the attribute in the field, without any impact on SLA</w:t>
      </w:r>
      <w:r w:rsidR="002B121F">
        <w:t xml:space="preserve"> between </w:t>
      </w:r>
      <w:proofErr w:type="gramStart"/>
      <w:r w:rsidR="002B121F">
        <w:t>a</w:t>
      </w:r>
      <w:proofErr w:type="gramEnd"/>
      <w:r w:rsidR="002B121F">
        <w:t xml:space="preserve"> </w:t>
      </w:r>
      <w:r w:rsidR="002B121F">
        <w:t>NSP (Network slice Provider) and a NSC (Network slice Client)</w:t>
      </w:r>
      <w:r w:rsidR="00287F1A">
        <w:t>.</w:t>
      </w:r>
    </w:p>
    <w:p w14:paraId="698DF980" w14:textId="5716926E" w:rsidR="00777001" w:rsidRDefault="00777001" w:rsidP="007F7BAB">
      <w:r>
        <w:t>For avoidance of doubt we report here the definition of the classes of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77001" w14:paraId="748A0FE8" w14:textId="77777777" w:rsidTr="00777001">
        <w:tc>
          <w:tcPr>
            <w:tcW w:w="9854" w:type="dxa"/>
            <w:shd w:val="clear" w:color="auto" w:fill="auto"/>
          </w:tcPr>
          <w:p w14:paraId="775D520F" w14:textId="77777777" w:rsidR="00777001" w:rsidRDefault="00777001" w:rsidP="00777001">
            <w:pPr>
              <w:pStyle w:val="Heading2"/>
            </w:pPr>
            <w:r>
              <w:t>3.2</w:t>
            </w:r>
            <w:r>
              <w:tab/>
              <w:t>Attribute categories and tagging</w:t>
            </w:r>
          </w:p>
          <w:p w14:paraId="522201C9" w14:textId="77777777" w:rsidR="00777001" w:rsidRDefault="00777001" w:rsidP="00777001">
            <w:r>
              <w:t>In general, attributes can be categorised into character attributes and scalability attributes. An attribute can be either a character or a scalability attribute but not both:</w:t>
            </w:r>
          </w:p>
          <w:p w14:paraId="7DAB61FE" w14:textId="75CBBE2D" w:rsidR="00777001" w:rsidRDefault="00777001" w:rsidP="00777001">
            <w:pPr>
              <w:numPr>
                <w:ilvl w:val="0"/>
                <w:numId w:val="38"/>
              </w:numPr>
            </w:pPr>
            <w:r>
              <w:t>Character attributes - characterise a slice (e.g. throughput, latency, Application Program Interfaces (APIs), etc.) and are independent of the Network Slice Customer (NSC) and the Network Slice Provider (NSP).</w:t>
            </w:r>
          </w:p>
          <w:p w14:paraId="32DB55A5" w14:textId="244BC8F9" w:rsidR="00777001" w:rsidRPr="005B5324" w:rsidRDefault="00777001" w:rsidP="00777001">
            <w:pPr>
              <w:numPr>
                <w:ilvl w:val="0"/>
                <w:numId w:val="38"/>
              </w:numPr>
              <w:rPr>
                <w:highlight w:val="yellow"/>
              </w:rPr>
            </w:pPr>
            <w:r>
              <w:t xml:space="preserve">Scalability attributes - provide information about the scalability of the slice (e.g. number of terminals, etc.) </w:t>
            </w:r>
            <w:r w:rsidRPr="005B5324">
              <w:rPr>
                <w:highlight w:val="yellow"/>
              </w:rPr>
              <w:t>and are specific for the NSC and the NSP.</w:t>
            </w:r>
          </w:p>
          <w:p w14:paraId="5A39C010" w14:textId="1CCCBF18" w:rsidR="00777001" w:rsidRDefault="00777001" w:rsidP="00777001"/>
        </w:tc>
      </w:tr>
    </w:tbl>
    <w:p w14:paraId="12D219B6" w14:textId="6FBBC560" w:rsidR="00777001" w:rsidRDefault="00777001" w:rsidP="007F7BAB"/>
    <w:p w14:paraId="118FE099" w14:textId="3FC77544" w:rsidR="00777001" w:rsidRDefault="00777001" w:rsidP="007F7BAB">
      <w:r>
        <w:t>And</w:t>
      </w:r>
    </w:p>
    <w:p w14:paraId="1901F12C" w14:textId="77777777" w:rsidR="00777001" w:rsidRDefault="00777001" w:rsidP="007F7B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77001" w14:paraId="05E444C3" w14:textId="77777777" w:rsidTr="00777001">
        <w:tc>
          <w:tcPr>
            <w:tcW w:w="9854" w:type="dxa"/>
            <w:shd w:val="clear" w:color="auto" w:fill="auto"/>
          </w:tcPr>
          <w:p w14:paraId="212EA7F6" w14:textId="0693D99E" w:rsidR="00777001" w:rsidRPr="002454C5" w:rsidRDefault="00777001" w:rsidP="00777001">
            <w:pPr>
              <w:pStyle w:val="Heading1"/>
              <w:pBdr>
                <w:top w:val="none" w:sz="0" w:space="0" w:color="auto"/>
              </w:pBdr>
              <w:overflowPunct/>
              <w:autoSpaceDE/>
              <w:autoSpaceDN/>
              <w:adjustRightInd/>
              <w:spacing w:before="360" w:after="60" w:line="276" w:lineRule="auto"/>
              <w:ind w:left="0" w:firstLine="0"/>
              <w:textAlignment w:val="auto"/>
            </w:pPr>
            <w:bookmarkStart w:id="1" w:name="_Toc19716993"/>
            <w:bookmarkStart w:id="2" w:name="_Toc20144270"/>
            <w:r>
              <w:t xml:space="preserve">4. </w:t>
            </w:r>
            <w:r w:rsidRPr="002454C5">
              <w:t>NEST</w:t>
            </w:r>
            <w:bookmarkEnd w:id="1"/>
            <w:bookmarkEnd w:id="2"/>
          </w:p>
          <w:p w14:paraId="15EE47E9" w14:textId="77777777" w:rsidR="00777001" w:rsidRPr="002454C5" w:rsidRDefault="00777001" w:rsidP="00777001">
            <w:pPr>
              <w:pStyle w:val="NormalParagraph"/>
              <w:rPr>
                <w:lang w:eastAsia="en-US"/>
              </w:rPr>
            </w:pPr>
            <w:r w:rsidRPr="002454C5">
              <w:t>Different requirements for the services that a network slice instance should support result to different NESTs. This section lists the most common NESTs with the minimum set of the attributes</w:t>
            </w:r>
            <w:r w:rsidRPr="002454C5">
              <w:rPr>
                <w:lang w:eastAsia="en-US"/>
              </w:rPr>
              <w:t>.</w:t>
            </w:r>
          </w:p>
          <w:p w14:paraId="71496A51" w14:textId="77777777" w:rsidR="00777001" w:rsidRPr="002454C5" w:rsidRDefault="00777001" w:rsidP="00777001">
            <w:pPr>
              <w:pStyle w:val="NormalParagraph"/>
              <w:rPr>
                <w:lang w:eastAsia="en-US"/>
              </w:rPr>
            </w:pPr>
            <w:r w:rsidRPr="002454C5">
              <w:rPr>
                <w:lang w:eastAsia="en-US"/>
              </w:rPr>
              <w:t>All attributes are grouped based on the following groups:</w:t>
            </w:r>
          </w:p>
          <w:p w14:paraId="288099DE" w14:textId="77777777" w:rsidR="00777001" w:rsidRPr="002454C5" w:rsidRDefault="00777001" w:rsidP="00777001">
            <w:pPr>
              <w:pStyle w:val="ListBullet1"/>
              <w:ind w:left="680" w:hanging="340"/>
            </w:pPr>
            <w:r w:rsidRPr="002454C5">
              <w:t xml:space="preserve">Character Attributes - the attribute’s value is in the NEST. </w:t>
            </w:r>
          </w:p>
          <w:p w14:paraId="689B979D" w14:textId="77777777" w:rsidR="00777001" w:rsidRPr="005B5324" w:rsidRDefault="00777001" w:rsidP="00777001">
            <w:pPr>
              <w:pStyle w:val="ListBullet1"/>
              <w:ind w:left="680" w:hanging="340"/>
              <w:rPr>
                <w:highlight w:val="yellow"/>
              </w:rPr>
            </w:pPr>
            <w:r w:rsidRPr="002454C5">
              <w:t xml:space="preserve">Scalability attributes - </w:t>
            </w:r>
            <w:r w:rsidRPr="005B5324">
              <w:rPr>
                <w:highlight w:val="yellow"/>
              </w:rPr>
              <w:t>the attribute’s value for scalability attributes depends on actual business case and each NSP is responsible for filling in the values.</w:t>
            </w:r>
          </w:p>
          <w:p w14:paraId="5C92C6DF" w14:textId="77777777" w:rsidR="00777001" w:rsidRDefault="00777001" w:rsidP="007F7BAB"/>
        </w:tc>
      </w:tr>
    </w:tbl>
    <w:p w14:paraId="04914EFB" w14:textId="77777777" w:rsidR="00777001" w:rsidRDefault="00777001" w:rsidP="007F7BAB"/>
    <w:p w14:paraId="72CD2618" w14:textId="3BC08F9D" w:rsidR="00777001" w:rsidRDefault="00777001" w:rsidP="007F7BAB">
      <w:r>
        <w:lastRenderedPageBreak/>
        <w:t xml:space="preserve">This is to say that there is no statement that the Scalability attributes can only be addressed by OAM, nor that the Character Attributes can only be addressed by C-plane means. Operators therefore can be free to use the methods that are most appropriate for the handling of the Scaling and the character attributes. In fact, Scalability Attribute clearly are identified here as those that can be subject of contractual negotiation between </w:t>
      </w:r>
      <w:proofErr w:type="gramStart"/>
      <w:r>
        <w:t>a</w:t>
      </w:r>
      <w:proofErr w:type="gramEnd"/>
      <w:r>
        <w:t xml:space="preserve"> NSP (Network slice Provider) and a NSC (Network slice Client). Hence, they match very well with the concept of quota management that was identified in various KIs at SA2#135.</w:t>
      </w:r>
    </w:p>
    <w:p w14:paraId="5C5FF4AD" w14:textId="77777777" w:rsidR="0031142E" w:rsidRDefault="0031142E" w:rsidP="0031142E"/>
    <w:p w14:paraId="309CE6C9" w14:textId="66923B45" w:rsidR="00F31924" w:rsidRDefault="002B121F" w:rsidP="0031142E">
      <w:pPr>
        <w:pStyle w:val="Heading1"/>
      </w:pPr>
      <w:r>
        <w:t>Conclusions</w:t>
      </w:r>
    </w:p>
    <w:p w14:paraId="05AE524F" w14:textId="5732A79C" w:rsidR="001A0078" w:rsidRDefault="00777001" w:rsidP="001A0078">
      <w:r>
        <w:t xml:space="preserve">Scalability </w:t>
      </w:r>
      <w:r w:rsidR="002B121F">
        <w:t>A</w:t>
      </w:r>
      <w:r>
        <w:t>ttributes can</w:t>
      </w:r>
      <w:r w:rsidR="002B121F">
        <w:t xml:space="preserve"> indeed</w:t>
      </w:r>
      <w:r>
        <w:t xml:space="preserve"> be </w:t>
      </w:r>
      <w:r w:rsidR="002B121F">
        <w:t>used outside the OAM domain to e.g. define quotas as in KI#1 and KI#2.</w:t>
      </w:r>
    </w:p>
    <w:p w14:paraId="1F14D9CC" w14:textId="23D22030" w:rsidR="001A0078" w:rsidRDefault="001A0078" w:rsidP="001A0078"/>
    <w:p w14:paraId="4F299552" w14:textId="77777777" w:rsidR="001A0078" w:rsidRPr="001A0078" w:rsidRDefault="001A0078" w:rsidP="001A0078"/>
    <w:sectPr w:rsidR="001A0078" w:rsidRPr="001A007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6CBC" w14:textId="77777777" w:rsidR="00DB29A8" w:rsidRDefault="00DB29A8">
      <w:r>
        <w:separator/>
      </w:r>
    </w:p>
    <w:p w14:paraId="6C030CA2" w14:textId="77777777" w:rsidR="00DB29A8" w:rsidRDefault="00DB29A8"/>
  </w:endnote>
  <w:endnote w:type="continuationSeparator" w:id="0">
    <w:p w14:paraId="02F11281" w14:textId="77777777" w:rsidR="00DB29A8" w:rsidRDefault="00DB29A8">
      <w:r>
        <w:continuationSeparator/>
      </w:r>
    </w:p>
    <w:p w14:paraId="755F85AC" w14:textId="77777777" w:rsidR="00DB29A8" w:rsidRDefault="00DB2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2C57" w14:textId="77777777" w:rsidR="00DB29A8" w:rsidRDefault="00DB29A8">
      <w:r>
        <w:separator/>
      </w:r>
    </w:p>
    <w:p w14:paraId="4794D3FB" w14:textId="77777777" w:rsidR="00DB29A8" w:rsidRDefault="00DB29A8"/>
  </w:footnote>
  <w:footnote w:type="continuationSeparator" w:id="0">
    <w:p w14:paraId="7AA7DE1B" w14:textId="77777777" w:rsidR="00DB29A8" w:rsidRDefault="00DB29A8">
      <w:r>
        <w:continuationSeparator/>
      </w:r>
    </w:p>
    <w:p w14:paraId="1500B9CE" w14:textId="77777777" w:rsidR="00DB29A8" w:rsidRDefault="00DB2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A560D090"/>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7A70A4EC"/>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915E0"/>
    <w:multiLevelType w:val="hybridMultilevel"/>
    <w:tmpl w:val="F11EB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5E1086"/>
    <w:multiLevelType w:val="multilevel"/>
    <w:tmpl w:val="B1C6902E"/>
    <w:lvl w:ilvl="0">
      <w:start w:val="1"/>
      <w:numFmt w:val="decimal"/>
      <w:lvlText w:val="%1"/>
      <w:lvlJc w:val="left"/>
      <w:pPr>
        <w:tabs>
          <w:tab w:val="num" w:pos="431"/>
        </w:tabs>
        <w:ind w:left="431" w:hanging="431"/>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tabs>
          <w:tab w:val="num" w:pos="624"/>
        </w:tabs>
        <w:ind w:left="624" w:hanging="62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851"/>
        </w:tabs>
        <w:ind w:left="851" w:hanging="85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1"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32"/>
  </w:num>
  <w:num w:numId="4">
    <w:abstractNumId w:val="22"/>
  </w:num>
  <w:num w:numId="5">
    <w:abstractNumId w:val="34"/>
  </w:num>
  <w:num w:numId="6">
    <w:abstractNumId w:val="11"/>
  </w:num>
  <w:num w:numId="7">
    <w:abstractNumId w:val="33"/>
  </w:num>
  <w:num w:numId="8">
    <w:abstractNumId w:val="27"/>
  </w:num>
  <w:num w:numId="9">
    <w:abstractNumId w:val="37"/>
  </w:num>
  <w:num w:numId="10">
    <w:abstractNumId w:val="15"/>
  </w:num>
  <w:num w:numId="11">
    <w:abstractNumId w:val="35"/>
  </w:num>
  <w:num w:numId="12">
    <w:abstractNumId w:val="17"/>
  </w:num>
  <w:num w:numId="13">
    <w:abstractNumId w:val="16"/>
  </w:num>
  <w:num w:numId="14">
    <w:abstractNumId w:val="10"/>
  </w:num>
  <w:num w:numId="15">
    <w:abstractNumId w:val="23"/>
  </w:num>
  <w:num w:numId="16">
    <w:abstractNumId w:val="28"/>
  </w:num>
  <w:num w:numId="17">
    <w:abstractNumId w:val="36"/>
  </w:num>
  <w:num w:numId="18">
    <w:abstractNumId w:val="29"/>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24"/>
  </w:num>
  <w:num w:numId="34">
    <w:abstractNumId w:val="21"/>
  </w:num>
  <w:num w:numId="35">
    <w:abstractNumId w:val="18"/>
  </w:num>
  <w:num w:numId="36">
    <w:abstractNumId w:val="30"/>
  </w:num>
  <w:num w:numId="37">
    <w:abstractNumId w:val="20"/>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299"/>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87F1A"/>
    <w:rsid w:val="00291B51"/>
    <w:rsid w:val="00292331"/>
    <w:rsid w:val="00293118"/>
    <w:rsid w:val="00293273"/>
    <w:rsid w:val="002937A3"/>
    <w:rsid w:val="00295763"/>
    <w:rsid w:val="00296203"/>
    <w:rsid w:val="00297678"/>
    <w:rsid w:val="002A00CB"/>
    <w:rsid w:val="002A0580"/>
    <w:rsid w:val="002A6967"/>
    <w:rsid w:val="002A70DC"/>
    <w:rsid w:val="002A714C"/>
    <w:rsid w:val="002B121F"/>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5324"/>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77001"/>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uiPriority w:val="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uiPriority w:val="1"/>
    <w:qFormat/>
    <w:pPr>
      <w:pBdr>
        <w:top w:val="none" w:sz="0" w:space="0" w:color="auto"/>
      </w:pBdr>
      <w:spacing w:before="180"/>
      <w:outlineLvl w:val="1"/>
    </w:pPr>
    <w:rPr>
      <w:sz w:val="32"/>
    </w:rPr>
  </w:style>
  <w:style w:type="paragraph" w:styleId="Heading3">
    <w:name w:val="heading 3"/>
    <w:basedOn w:val="Heading2"/>
    <w:next w:val="Normal"/>
    <w:uiPriority w:val="1"/>
    <w:qFormat/>
    <w:pPr>
      <w:spacing w:before="120"/>
      <w:outlineLvl w:val="2"/>
    </w:pPr>
    <w:rPr>
      <w:sz w:val="28"/>
    </w:rPr>
  </w:style>
  <w:style w:type="paragraph" w:styleId="Heading4">
    <w:name w:val="heading 4"/>
    <w:basedOn w:val="Heading3"/>
    <w:next w:val="Normal"/>
    <w:uiPriority w:val="1"/>
    <w:qFormat/>
    <w:pPr>
      <w:ind w:left="1418" w:hanging="1418"/>
      <w:outlineLvl w:val="3"/>
    </w:pPr>
    <w:rPr>
      <w:sz w:val="24"/>
    </w:rPr>
  </w:style>
  <w:style w:type="paragraph" w:styleId="Heading5">
    <w:name w:val="heading 5"/>
    <w:basedOn w:val="Heading4"/>
    <w:next w:val="Normal"/>
    <w:uiPriority w:val="1"/>
    <w:qFormat/>
    <w:pPr>
      <w:ind w:left="1701" w:hanging="1701"/>
      <w:outlineLvl w:val="4"/>
    </w:pPr>
    <w:rPr>
      <w:sz w:val="22"/>
    </w:rPr>
  </w:style>
  <w:style w:type="paragraph" w:styleId="Heading6">
    <w:name w:val="heading 6"/>
    <w:basedOn w:val="H6"/>
    <w:next w:val="Normal"/>
    <w:uiPriority w:val="1"/>
    <w:qFormat/>
    <w:pPr>
      <w:outlineLvl w:val="5"/>
    </w:pPr>
    <w:rPr>
      <w:b w:val="0"/>
      <w:sz w:val="20"/>
    </w:rPr>
  </w:style>
  <w:style w:type="paragraph" w:styleId="Heading7">
    <w:name w:val="heading 7"/>
    <w:basedOn w:val="H6"/>
    <w:next w:val="Normal"/>
    <w:uiPriority w:val="1"/>
    <w:qFormat/>
    <w:pPr>
      <w:outlineLvl w:val="6"/>
    </w:pPr>
    <w:rPr>
      <w:b w:val="0"/>
      <w:sz w:val="20"/>
    </w:rPr>
  </w:style>
  <w:style w:type="paragraph" w:styleId="Heading8">
    <w:name w:val="heading 8"/>
    <w:basedOn w:val="Heading1"/>
    <w:next w:val="Normal"/>
    <w:uiPriority w:val="1"/>
    <w:qFormat/>
    <w:pPr>
      <w:ind w:left="0" w:firstLine="0"/>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customStyle="1" w:styleId="ListBulletsub">
    <w:name w:val="List Bullet (sub)"/>
    <w:basedOn w:val="ListBullet3"/>
    <w:uiPriority w:val="5"/>
    <w:qFormat/>
    <w:rsid w:val="00777001"/>
    <w:pPr>
      <w:numPr>
        <w:ilvl w:val="3"/>
      </w:numPr>
      <w:tabs>
        <w:tab w:val="clear" w:pos="1361"/>
        <w:tab w:val="left" w:pos="1701"/>
      </w:tabs>
      <w:ind w:left="2880" w:hanging="360"/>
    </w:pPr>
  </w:style>
  <w:style w:type="paragraph" w:customStyle="1" w:styleId="ListBullet1">
    <w:name w:val="List Bullet 1"/>
    <w:basedOn w:val="NormalParagraph"/>
    <w:uiPriority w:val="2"/>
    <w:qFormat/>
    <w:rsid w:val="00777001"/>
    <w:pPr>
      <w:numPr>
        <w:numId w:val="36"/>
      </w:numPr>
      <w:tabs>
        <w:tab w:val="left" w:pos="680"/>
      </w:tabs>
      <w:ind w:left="720" w:hanging="360"/>
      <w:contextualSpacing/>
    </w:pPr>
  </w:style>
  <w:style w:type="paragraph" w:styleId="ListBullet2">
    <w:name w:val="List Bullet 2"/>
    <w:basedOn w:val="ListBullet1"/>
    <w:uiPriority w:val="2"/>
    <w:qFormat/>
    <w:rsid w:val="00777001"/>
    <w:pPr>
      <w:numPr>
        <w:ilvl w:val="1"/>
      </w:numPr>
      <w:tabs>
        <w:tab w:val="clear" w:pos="680"/>
        <w:tab w:val="left" w:pos="1021"/>
      </w:tabs>
      <w:ind w:left="1440" w:hanging="360"/>
    </w:pPr>
  </w:style>
  <w:style w:type="paragraph" w:styleId="ListBullet3">
    <w:name w:val="List Bullet 3"/>
    <w:basedOn w:val="ListBullet2"/>
    <w:uiPriority w:val="2"/>
    <w:qFormat/>
    <w:rsid w:val="00777001"/>
    <w:pPr>
      <w:numPr>
        <w:ilvl w:val="2"/>
      </w:numPr>
      <w:tabs>
        <w:tab w:val="clear" w:pos="1021"/>
        <w:tab w:val="left" w:pos="1361"/>
      </w:tabs>
      <w:ind w:left="2160" w:hanging="360"/>
    </w:pPr>
  </w:style>
  <w:style w:type="numbering" w:customStyle="1" w:styleId="ListBullets">
    <w:name w:val="ListBullets"/>
    <w:uiPriority w:val="99"/>
    <w:rsid w:val="00777001"/>
    <w:pPr>
      <w:numPr>
        <w:numId w:val="36"/>
      </w:numPr>
    </w:pPr>
  </w:style>
  <w:style w:type="paragraph" w:customStyle="1" w:styleId="NormalParagraph">
    <w:name w:val="Normal Paragraph"/>
    <w:link w:val="NormalParagraphChar"/>
    <w:qFormat/>
    <w:rsid w:val="00777001"/>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777001"/>
    <w:rPr>
      <w:rFonts w:ascii="Arial" w:eastAsia="SimSun" w:hAnsi="Arial"/>
      <w:sz w:val="22"/>
      <w:szCs w:val="22"/>
    </w:rPr>
  </w:style>
  <w:style w:type="character" w:customStyle="1" w:styleId="Heading1Char">
    <w:name w:val="Heading 1 Char"/>
    <w:link w:val="Heading1"/>
    <w:uiPriority w:val="1"/>
    <w:rsid w:val="00777001"/>
    <w:rPr>
      <w:rFonts w:ascii="Arial" w:hAnsi="Arial"/>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F391C-39ED-4E40-8DBD-CF1843D2633B}">
  <ds:schemaRefs>
    <ds:schemaRef ds:uri="http://purl.org/dc/dcmitype/"/>
    <ds:schemaRef ds:uri="http://purl.org/dc/terms/"/>
    <ds:schemaRef ds:uri="http://purl.org/dc/elements/1.1/"/>
    <ds:schemaRef ds:uri="http://www.w3.org/XML/1998/namespace"/>
    <ds:schemaRef ds:uri="http://schemas.microsoft.com/office/2006/metadata/properties"/>
    <ds:schemaRef ds:uri="http://schemas.microsoft.com/office/2006/documentManagement/types"/>
    <ds:schemaRef ds:uri="71c5aaf6-e6ce-465b-b873-5148d2a4c105"/>
    <ds:schemaRef ds:uri="http://schemas.microsoft.com/office/infopath/2007/PartnerControls"/>
    <ds:schemaRef ds:uri="http://schemas.openxmlformats.org/package/2006/metadata/core-properties"/>
    <ds:schemaRef ds:uri="a4ab1a16-c41d-4865-a433-ad08d2a54ac6"/>
  </ds:schemaRefs>
</ds:datastoreItem>
</file>

<file path=customXml/itemProps2.xml><?xml version="1.0" encoding="utf-8"?>
<ds:datastoreItem xmlns:ds="http://schemas.openxmlformats.org/officeDocument/2006/customXml" ds:itemID="{C1084280-B522-4242-BB97-B01748F4A841}">
  <ds:schemaRefs>
    <ds:schemaRef ds:uri="http://schemas.microsoft.com/sharepoint/v3/contenttype/forms"/>
  </ds:schemaRefs>
</ds:datastoreItem>
</file>

<file path=customXml/itemProps3.xml><?xml version="1.0" encoding="utf-8"?>
<ds:datastoreItem xmlns:ds="http://schemas.openxmlformats.org/officeDocument/2006/customXml" ds:itemID="{F4E2EBA5-3D6A-462A-BE35-DD3C754693C4}">
  <ds:schemaRefs>
    <ds:schemaRef ds:uri="http://schemas.microsoft.com/sharepoint/events"/>
  </ds:schemaRefs>
</ds:datastoreItem>
</file>

<file path=customXml/itemProps4.xml><?xml version="1.0" encoding="utf-8"?>
<ds:datastoreItem xmlns:ds="http://schemas.openxmlformats.org/officeDocument/2006/customXml" ds:itemID="{A269B2AD-56A3-47E5-AAA8-4E43706ECAF8}">
  <ds:schemaRefs>
    <ds:schemaRef ds:uri="Microsoft.SharePoint.Taxonomy.ContentTypeSync"/>
  </ds:schemaRefs>
</ds:datastoreItem>
</file>

<file path=customXml/itemProps5.xml><?xml version="1.0" encoding="utf-8"?>
<ds:datastoreItem xmlns:ds="http://schemas.openxmlformats.org/officeDocument/2006/customXml" ds:itemID="{6A48C3AA-55D3-4202-B310-0A23697F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05B48-C294-4559-B4CE-2CBA5046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391</Words>
  <Characters>2231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AC</cp:lastModifiedBy>
  <cp:revision>5</cp:revision>
  <cp:lastPrinted>2017-01-31T19:04:00Z</cp:lastPrinted>
  <dcterms:created xsi:type="dcterms:W3CDTF">2019-11-05T16:44:00Z</dcterms:created>
  <dcterms:modified xsi:type="dcterms:W3CDTF">2019-11-08T11:10:00Z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